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C8018" w14:textId="7A60E538" w:rsidR="002B2DB1" w:rsidRDefault="0094504F">
      <w:pPr>
        <w:pStyle w:val="P68B1DB1-Normale1"/>
        <w:jc w:val="both"/>
      </w:pPr>
      <w:r>
        <w:t>Valuable fish fauna in</w:t>
      </w:r>
      <w:r w:rsidR="00E43F78">
        <w:t xml:space="preserve"> </w:t>
      </w:r>
      <w:r>
        <w:t>the waters of Trentino</w:t>
      </w:r>
    </w:p>
    <w:p w14:paraId="45539409" w14:textId="2B20FFEA" w:rsidR="002B2DB1" w:rsidRDefault="0094504F">
      <w:pPr>
        <w:pStyle w:val="P68B1DB1-Normale2"/>
        <w:jc w:val="both"/>
      </w:pPr>
      <w:r>
        <w:t>FISHING IN RIVERS AND LAKES RECLAIMED BY NATURE</w:t>
      </w:r>
    </w:p>
    <w:p w14:paraId="3262FA42" w14:textId="77777777" w:rsidR="002B2DB1" w:rsidRDefault="002B2DB1">
      <w:pPr>
        <w:jc w:val="both"/>
        <w:rPr>
          <w:rFonts w:cs="Arial"/>
        </w:rPr>
      </w:pPr>
    </w:p>
    <w:p w14:paraId="1A27796A" w14:textId="1AB7D5DD" w:rsidR="002B2DB1" w:rsidRDefault="0094504F">
      <w:pPr>
        <w:pStyle w:val="P68B1DB1-Normale3"/>
        <w:spacing w:line="276" w:lineRule="auto"/>
        <w:jc w:val="both"/>
      </w:pPr>
      <w:r>
        <w:t>Anglers can use the “Trentino Fishing” portal to book a Fishing Guide or one of the many services, from a day permit to a stay in one of the “Trentino Fishing Lodges”</w:t>
      </w:r>
    </w:p>
    <w:p w14:paraId="77699D43" w14:textId="77777777" w:rsidR="002B2DB1" w:rsidRDefault="002B2DB1">
      <w:pPr>
        <w:jc w:val="both"/>
        <w:rPr>
          <w:rFonts w:cs="Arial"/>
        </w:rPr>
      </w:pPr>
    </w:p>
    <w:p w14:paraId="29C317AA" w14:textId="77777777" w:rsidR="002B2DB1" w:rsidRDefault="0094504F">
      <w:pPr>
        <w:pStyle w:val="P68B1DB1-Normale4"/>
        <w:jc w:val="both"/>
      </w:pPr>
      <w:r>
        <w:t>Trentino is an area rich in biodiversity thanks to the widespread presence of protected environments large and small. With more than 2,000 km of rivers and streams and almost 300 lakes, the water resources and fish stocks naturally also benefit from this situation. The variety of aquatic environments and the more than 500 fishing grounds to choose from make this area an ideal destination for fishing, particularly fly-fishing and spin fishing.</w:t>
      </w:r>
    </w:p>
    <w:p w14:paraId="3C6FA635" w14:textId="77777777" w:rsidR="002B2DB1" w:rsidRDefault="0094504F">
      <w:pPr>
        <w:pStyle w:val="P68B1DB1-Normale4"/>
        <w:jc w:val="both"/>
      </w:pPr>
      <w:r>
        <w:t>All you need to do is put on special “waders”, so you can move around easily in the water without getting wet, and cast the bait to the places where fish are most likely to be resting, in calmer waters or under rocky outcrops. It’s a challenge that requires patience and experience, as well as a bit of luck.</w:t>
      </w:r>
    </w:p>
    <w:p w14:paraId="224803BE" w14:textId="77777777" w:rsidR="002B2DB1" w:rsidRDefault="0094504F">
      <w:pPr>
        <w:pStyle w:val="P68B1DB1-Normale4"/>
        <w:jc w:val="both"/>
      </w:pPr>
      <w:r>
        <w:t xml:space="preserve">You can choose between the great lakes of the valley floor or the alpine lakes overlooking the Dolomites, the streams such as the </w:t>
      </w:r>
      <w:proofErr w:type="spellStart"/>
      <w:r>
        <w:t>Avisio</w:t>
      </w:r>
      <w:proofErr w:type="spellEnd"/>
      <w:r>
        <w:t xml:space="preserve">, the </w:t>
      </w:r>
      <w:proofErr w:type="spellStart"/>
      <w:r>
        <w:t>Cismon</w:t>
      </w:r>
      <w:proofErr w:type="spellEnd"/>
      <w:r>
        <w:t xml:space="preserve"> and the </w:t>
      </w:r>
      <w:proofErr w:type="spellStart"/>
      <w:r>
        <w:t>Vanoi</w:t>
      </w:r>
      <w:proofErr w:type="spellEnd"/>
      <w:r>
        <w:t xml:space="preserve">, or rivers such as the Noce, the </w:t>
      </w:r>
      <w:proofErr w:type="spellStart"/>
      <w:r>
        <w:t>Sarca</w:t>
      </w:r>
      <w:proofErr w:type="spellEnd"/>
      <w:r>
        <w:t xml:space="preserve">, the Brenta and the Adige. </w:t>
      </w:r>
    </w:p>
    <w:p w14:paraId="3FC44440" w14:textId="6F3D632D" w:rsidR="002B2DB1" w:rsidRDefault="0094504F">
      <w:pPr>
        <w:pStyle w:val="P68B1DB1-Normale4"/>
        <w:jc w:val="both"/>
      </w:pPr>
      <w:r>
        <w:t>These waterways also include numerous areas reserved for</w:t>
      </w:r>
      <w:r>
        <w:rPr>
          <w:b/>
        </w:rPr>
        <w:t xml:space="preserve"> no-kill</w:t>
      </w:r>
      <w:r>
        <w:t xml:space="preserve"> fishing, i.e. without taking the fish. Once caught, they are freed from the hook and immediately released. On the </w:t>
      </w:r>
      <w:proofErr w:type="spellStart"/>
      <w:r>
        <w:t>Sarca</w:t>
      </w:r>
      <w:proofErr w:type="spellEnd"/>
      <w:r>
        <w:t xml:space="preserve"> River, there are also special platforms to allow easier access for the elderly and people with disabilities.</w:t>
      </w:r>
    </w:p>
    <w:p w14:paraId="593B81A4" w14:textId="41173C5D" w:rsidR="002B2DB1" w:rsidRDefault="0094504F">
      <w:pPr>
        <w:jc w:val="both"/>
        <w:rPr>
          <w:rFonts w:cs="Arial"/>
        </w:rPr>
      </w:pPr>
      <w:r>
        <w:rPr>
          <w:rFonts w:cs="Arial"/>
        </w:rPr>
        <w:t xml:space="preserve">To find out about all the opportunities available to anglers, your first port of call is the portal </w:t>
      </w:r>
      <w:r>
        <w:rPr>
          <w:rFonts w:cs="Arial"/>
          <w:b/>
        </w:rPr>
        <w:t>trentinofishing.it</w:t>
      </w:r>
      <w:r>
        <w:rPr>
          <w:rFonts w:cs="Arial"/>
        </w:rPr>
        <w:t xml:space="preserve">. It contains all the information you need on angling associations, areas, fish species, the real-time situation in the main waterways via webcam feeds, as well as a section for purchasing fishing permits online and booking reserve areas, buying tourist amateur fishing permits (which can be used as a substitute for the government licence for anglers who do not hold one), and hiring equipment. You can also book </w:t>
      </w:r>
      <w:r>
        <w:rPr>
          <w:rFonts w:cs="Arial"/>
          <w:b/>
        </w:rPr>
        <w:t xml:space="preserve">Trentino Fishing Guides </w:t>
      </w:r>
      <w:hyperlink r:id="rId8" w:history="1">
        <w:r>
          <w:rPr>
            <w:rStyle w:val="Collegamentoipertestuale"/>
            <w:rFonts w:cs="Arial"/>
          </w:rPr>
          <w:t>(</w:t>
        </w:r>
      </w:hyperlink>
      <w:r>
        <w:rPr>
          <w:rStyle w:val="Collegamentoipertestuale"/>
          <w:rFonts w:cs="Arial"/>
          <w:color w:val="auto"/>
          <w:u w:val="none"/>
        </w:rPr>
        <w:t xml:space="preserve">www.visittrentino.info/it/articoli/natura-pura/fishing-guides), </w:t>
      </w:r>
      <w:r>
        <w:rPr>
          <w:rFonts w:cs="Arial"/>
        </w:rPr>
        <w:t xml:space="preserve">individuals trained to accompany anglers to the best fishing spots, and stay in the </w:t>
      </w:r>
      <w:r>
        <w:rPr>
          <w:rFonts w:cs="Arial"/>
          <w:b/>
        </w:rPr>
        <w:t>Trentino Fishing Lodges,</w:t>
      </w:r>
      <w:r>
        <w:rPr>
          <w:rFonts w:cs="Arial"/>
        </w:rPr>
        <w:t xml:space="preserve"> a group of accommodation facilities suitable for fishing enthusiasts (</w:t>
      </w:r>
      <w:hyperlink r:id="rId9" w:history="1">
        <w:r>
          <w:rPr>
            <w:rStyle w:val="Collegamentoipertestuale"/>
            <w:rFonts w:cs="Arial"/>
          </w:rPr>
          <w:t>www.visittrentino.info/it/articoli/club-prodotto/trentino-fishing-lodge</w:t>
        </w:r>
      </w:hyperlink>
      <w:r>
        <w:rPr>
          <w:rStyle w:val="Collegamentoipertestuale"/>
          <w:rFonts w:cs="Arial"/>
        </w:rPr>
        <w:t>)</w:t>
      </w:r>
      <w:r>
        <w:rPr>
          <w:rStyle w:val="Collegamentoipertestuale"/>
          <w:rFonts w:cs="Arial"/>
          <w:color w:val="auto"/>
          <w:u w:val="none"/>
        </w:rPr>
        <w:t>.</w:t>
      </w:r>
    </w:p>
    <w:p w14:paraId="100A92E7" w14:textId="77777777" w:rsidR="002B2DB1" w:rsidRDefault="002B2DB1">
      <w:pPr>
        <w:jc w:val="both"/>
        <w:rPr>
          <w:rFonts w:cs="Arial"/>
        </w:rPr>
      </w:pPr>
    </w:p>
    <w:p w14:paraId="54FC2702" w14:textId="7C052F65" w:rsidR="002B2DB1" w:rsidRDefault="0094504F">
      <w:pPr>
        <w:jc w:val="both"/>
        <w:rPr>
          <w:rStyle w:val="Collegamentoipertestuale"/>
          <w:rFonts w:cs="Arial"/>
          <w:b/>
        </w:rPr>
      </w:pPr>
      <w:r>
        <w:rPr>
          <w:rFonts w:cs="Arial"/>
        </w:rPr>
        <w:t xml:space="preserve">You can find out more information </w:t>
      </w:r>
      <w:hyperlink r:id="rId10" w:history="1">
        <w:r>
          <w:rPr>
            <w:rStyle w:val="Collegamentoipertestuale"/>
            <w:rFonts w:cs="Arial"/>
            <w:b/>
            <w:u w:val="none"/>
          </w:rPr>
          <w:t>HERE</w:t>
        </w:r>
      </w:hyperlink>
      <w:r>
        <w:rPr>
          <w:rStyle w:val="Collegamentoipertestuale"/>
          <w:rFonts w:cs="Arial"/>
          <w:b/>
          <w:u w:val="none"/>
        </w:rPr>
        <w:t xml:space="preserve"> </w:t>
      </w:r>
    </w:p>
    <w:p w14:paraId="7C5C8C1E" w14:textId="05784E24" w:rsidR="002B2DB1" w:rsidRDefault="002B2DB1">
      <w:pPr>
        <w:jc w:val="both"/>
        <w:rPr>
          <w:rStyle w:val="Collegamentoipertestuale"/>
          <w:rFonts w:cs="Arial"/>
          <w:b/>
        </w:rPr>
      </w:pPr>
    </w:p>
    <w:sectPr w:rsidR="002B2DB1">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EDE12" w14:textId="77777777" w:rsidR="000715BA" w:rsidRDefault="000715BA">
      <w:r>
        <w:separator/>
      </w:r>
    </w:p>
  </w:endnote>
  <w:endnote w:type="continuationSeparator" w:id="0">
    <w:p w14:paraId="7D18690C" w14:textId="77777777" w:rsidR="000715BA" w:rsidRDefault="00071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F375" w14:textId="77777777" w:rsidR="00B9442A" w:rsidRDefault="00B9442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2B2DB1" w14:paraId="3D27D872" w14:textId="77777777">
      <w:trPr>
        <w:jc w:val="center"/>
      </w:trPr>
      <w:tc>
        <w:tcPr>
          <w:tcW w:w="4934" w:type="dxa"/>
        </w:tcPr>
        <w:p w14:paraId="78080166" w14:textId="77777777" w:rsidR="00E43F78" w:rsidRDefault="00E43F78">
          <w:pPr>
            <w:pStyle w:val="P68B1DB1-Pidipagina6"/>
          </w:pPr>
        </w:p>
        <w:p w14:paraId="12B68C5B" w14:textId="38BBC180" w:rsidR="002B2DB1" w:rsidRDefault="002B2DB1">
          <w:pPr>
            <w:pStyle w:val="Pidipagina"/>
            <w:rPr>
              <w:rFonts w:ascii="HelveticaNeueLT Std" w:hAnsi="HelveticaNeueLT Std" w:cs="Arial"/>
              <w:sz w:val="20"/>
            </w:rPr>
          </w:pPr>
        </w:p>
      </w:tc>
      <w:tc>
        <w:tcPr>
          <w:tcW w:w="4932" w:type="dxa"/>
        </w:tcPr>
        <w:p w14:paraId="00333755" w14:textId="77777777" w:rsidR="002B2DB1" w:rsidRDefault="0094504F">
          <w:pPr>
            <w:pStyle w:val="P68B1DB1-Pidipagina7"/>
            <w:jc w:val="right"/>
          </w:pPr>
          <w:r>
            <w:rPr>
              <w:noProof/>
            </w:rPr>
            <w:drawing>
              <wp:inline distT="0" distB="0" distL="0" distR="0" wp14:anchorId="7D59842C" wp14:editId="6E308FDB">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7DE7B2A" w14:textId="77777777" w:rsidR="002B2DB1" w:rsidRDefault="002B2DB1">
          <w:pPr>
            <w:pStyle w:val="Pidipagina"/>
            <w:jc w:val="right"/>
            <w:rPr>
              <w:rFonts w:ascii="HelveticaNeueLT Std" w:hAnsi="HelveticaNeueLT Std" w:cs="Arial"/>
              <w:sz w:val="20"/>
            </w:rPr>
          </w:pPr>
        </w:p>
      </w:tc>
    </w:tr>
  </w:tbl>
  <w:p w14:paraId="3CA75BA4" w14:textId="0D8C6811" w:rsidR="002B2DB1" w:rsidRDefault="0094504F">
    <w:pPr>
      <w:pStyle w:val="Pidipagina"/>
    </w:pPr>
    <w:r>
      <w:rPr>
        <w:noProof/>
      </w:rPr>
      <mc:AlternateContent>
        <mc:Choice Requires="wps">
          <w:drawing>
            <wp:anchor distT="4294967295" distB="4294967295" distL="114300" distR="114300" simplePos="0" relativeHeight="251660288" behindDoc="0" locked="0" layoutInCell="1" allowOverlap="1" wp14:anchorId="580BB8C5" wp14:editId="5C96501E">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7FD1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F54A" w14:textId="77777777" w:rsidR="00B9442A" w:rsidRDefault="00B944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C99DA" w14:textId="77777777" w:rsidR="000715BA" w:rsidRDefault="000715BA">
      <w:r>
        <w:separator/>
      </w:r>
    </w:p>
  </w:footnote>
  <w:footnote w:type="continuationSeparator" w:id="0">
    <w:p w14:paraId="017161DC" w14:textId="77777777" w:rsidR="000715BA" w:rsidRDefault="00071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FD71" w14:textId="77777777" w:rsidR="00B9442A" w:rsidRDefault="00B9442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46AE" w14:textId="77777777" w:rsidR="002B2DB1" w:rsidRDefault="0094504F">
    <w:pPr>
      <w:pStyle w:val="Intestazione"/>
    </w:pPr>
    <w:r>
      <w:rPr>
        <w:noProof/>
      </w:rPr>
      <w:drawing>
        <wp:inline distT="0" distB="0" distL="0" distR="0" wp14:anchorId="757B7896" wp14:editId="1CCE1B5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B571" w14:textId="77777777" w:rsidR="00B9442A" w:rsidRDefault="00B944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686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9505972">
    <w:abstractNumId w:val="2"/>
  </w:num>
  <w:num w:numId="3" w16cid:durableId="1609967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61B3C"/>
    <w:rsid w:val="00062580"/>
    <w:rsid w:val="000708AA"/>
    <w:rsid w:val="000715BA"/>
    <w:rsid w:val="00092B77"/>
    <w:rsid w:val="000970D5"/>
    <w:rsid w:val="000A692D"/>
    <w:rsid w:val="000A74CA"/>
    <w:rsid w:val="000C4F2A"/>
    <w:rsid w:val="000D27B1"/>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D3003"/>
    <w:rsid w:val="001F2F71"/>
    <w:rsid w:val="001F7C2E"/>
    <w:rsid w:val="00201BB9"/>
    <w:rsid w:val="00201FC3"/>
    <w:rsid w:val="00213E5F"/>
    <w:rsid w:val="00217EFF"/>
    <w:rsid w:val="0022549E"/>
    <w:rsid w:val="00252C6C"/>
    <w:rsid w:val="0025727E"/>
    <w:rsid w:val="00287487"/>
    <w:rsid w:val="002933F5"/>
    <w:rsid w:val="002B2DB1"/>
    <w:rsid w:val="002B2DF2"/>
    <w:rsid w:val="002D09B0"/>
    <w:rsid w:val="002F102C"/>
    <w:rsid w:val="002F29B1"/>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783A"/>
    <w:rsid w:val="004E7FDE"/>
    <w:rsid w:val="00534CE9"/>
    <w:rsid w:val="00540F62"/>
    <w:rsid w:val="00566508"/>
    <w:rsid w:val="005747DC"/>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6E2E94"/>
    <w:rsid w:val="00717251"/>
    <w:rsid w:val="00724E05"/>
    <w:rsid w:val="007312A0"/>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4504F"/>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C51E9"/>
    <w:rsid w:val="00AE1429"/>
    <w:rsid w:val="00AF63F4"/>
    <w:rsid w:val="00B06C89"/>
    <w:rsid w:val="00B10525"/>
    <w:rsid w:val="00B43249"/>
    <w:rsid w:val="00B61314"/>
    <w:rsid w:val="00B9442A"/>
    <w:rsid w:val="00B95685"/>
    <w:rsid w:val="00B96D16"/>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6595A"/>
    <w:rsid w:val="00D72EB1"/>
    <w:rsid w:val="00D73EC1"/>
    <w:rsid w:val="00D914DC"/>
    <w:rsid w:val="00DA7633"/>
    <w:rsid w:val="00DB549B"/>
    <w:rsid w:val="00DC16F1"/>
    <w:rsid w:val="00DC77A8"/>
    <w:rsid w:val="00DD4177"/>
    <w:rsid w:val="00DD7962"/>
    <w:rsid w:val="00E051C6"/>
    <w:rsid w:val="00E1624C"/>
    <w:rsid w:val="00E3745E"/>
    <w:rsid w:val="00E401FB"/>
    <w:rsid w:val="00E43F78"/>
    <w:rsid w:val="00E44A3F"/>
    <w:rsid w:val="00E90796"/>
    <w:rsid w:val="00E90D39"/>
    <w:rsid w:val="00E90F86"/>
    <w:rsid w:val="00E97652"/>
    <w:rsid w:val="00EC6057"/>
    <w:rsid w:val="00ED3666"/>
    <w:rsid w:val="00EE50D2"/>
    <w:rsid w:val="00F16462"/>
    <w:rsid w:val="00F207FB"/>
    <w:rsid w:val="00F2597E"/>
    <w:rsid w:val="00F379B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3B25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Menzionenonrisolta">
    <w:name w:val="Unresolved Mention"/>
    <w:basedOn w:val="Carpredefinitoparagrafo"/>
    <w:uiPriority w:val="99"/>
    <w:semiHidden/>
    <w:unhideWhenUsed/>
    <w:rsid w:val="00AC51E9"/>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Pidipagina5">
    <w:name w:val="P68B1DB1-Pidipagina5"/>
    <w:basedOn w:val="Pidipagina"/>
    <w:rPr>
      <w:rFonts w:ascii="Arial" w:hAnsi="Arial" w:cs="Arial"/>
      <w:b/>
      <w:color w:val="000000" w:themeColor="text1"/>
      <w:sz w:val="18"/>
    </w:rPr>
  </w:style>
  <w:style w:type="paragraph" w:customStyle="1" w:styleId="P68B1DB1-Pidipagina6">
    <w:name w:val="P68B1DB1-Pidipagina6"/>
    <w:basedOn w:val="Pidipagina"/>
    <w:rPr>
      <w:rFonts w:ascii="Arial" w:hAnsi="Arial" w:cs="Arial"/>
      <w:color w:val="000000" w:themeColor="text1"/>
      <w:sz w:val="18"/>
    </w:rPr>
  </w:style>
  <w:style w:type="paragraph" w:customStyle="1" w:styleId="P68B1DB1-Pidipagina7">
    <w:name w:val="P68B1DB1-Pidipagina7"/>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natura-pura/fishing-guid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rentinofishing.it/it" TargetMode="External"/><Relationship Id="rId4" Type="http://schemas.openxmlformats.org/officeDocument/2006/relationships/settings" Target="settings.xml"/><Relationship Id="rId9" Type="http://schemas.openxmlformats.org/officeDocument/2006/relationships/hyperlink" Target="http://www.visittrentino.info/it/articoli/club-prodotto/trentino-fishing-lodg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959C3-3A3F-4D0D-ADE7-906FE1A6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400</Words>
  <Characters>2286</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2018-03-22T13:16:00Z</cp:lastPrinted>
  <dcterms:created xsi:type="dcterms:W3CDTF">2026-02-02T12:32:00Z</dcterms:created>
  <dcterms:modified xsi:type="dcterms:W3CDTF">2026-02-26T14:02:00Z</dcterms:modified>
</cp:coreProperties>
</file>